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2307A" w14:textId="04229CE5" w:rsidR="00005C65" w:rsidRPr="00ED54FA" w:rsidRDefault="00000000" w:rsidP="002B110F">
      <w:pPr>
        <w:jc w:val="center"/>
        <w:rPr>
          <w:rFonts w:eastAsia="標楷體" w:cstheme="minorHAnsi"/>
          <w:sz w:val="28"/>
          <w:szCs w:val="24"/>
        </w:rPr>
      </w:pPr>
      <w:proofErr w:type="spellStart"/>
      <w:r w:rsidRPr="00ED54FA">
        <w:rPr>
          <w:rFonts w:eastAsia="標楷體" w:cstheme="minorHAnsi"/>
          <w:sz w:val="28"/>
          <w:szCs w:val="24"/>
        </w:rPr>
        <w:t>Tunghai</w:t>
      </w:r>
      <w:proofErr w:type="spellEnd"/>
      <w:r w:rsidRPr="00ED54FA">
        <w:rPr>
          <w:rFonts w:eastAsia="標楷體" w:cstheme="minorHAnsi"/>
          <w:sz w:val="28"/>
          <w:szCs w:val="24"/>
        </w:rPr>
        <w:t xml:space="preserve"> University Guidelines for Handling Campus Bullying Incidents Involving Faculty and Staff</w:t>
      </w:r>
    </w:p>
    <w:p w14:paraId="37A4626C" w14:textId="69DA7C3D" w:rsidR="00357CEB" w:rsidRPr="00ED54FA" w:rsidRDefault="00357CEB">
      <w:pPr>
        <w:rPr>
          <w:rFonts w:eastAsia="標楷體" w:cstheme="minorHAnsi"/>
        </w:rPr>
      </w:pPr>
    </w:p>
    <w:p w14:paraId="7DDD220C" w14:textId="389C34AD" w:rsidR="00546E7C" w:rsidRPr="00ED54FA" w:rsidRDefault="00000000" w:rsidP="00ED54FA">
      <w:pPr>
        <w:jc w:val="right"/>
        <w:rPr>
          <w:rFonts w:eastAsia="標楷體" w:cstheme="minorHAnsi"/>
          <w:sz w:val="22"/>
          <w:szCs w:val="20"/>
        </w:rPr>
      </w:pPr>
      <w:r w:rsidRPr="00ED54FA">
        <w:rPr>
          <w:rFonts w:eastAsia="標楷體" w:cstheme="minorHAnsi"/>
          <w:sz w:val="22"/>
          <w:szCs w:val="20"/>
        </w:rPr>
        <w:t>Approved by the 113-01 Campus Bullying Prevention Committee Meeting on September 18, 2024</w:t>
      </w:r>
    </w:p>
    <w:p w14:paraId="26705EB1" w14:textId="0CEB43FF" w:rsidR="00A06623" w:rsidRPr="00ED54FA" w:rsidRDefault="00000000" w:rsidP="00ED54FA">
      <w:pPr>
        <w:wordWrap w:val="0"/>
        <w:jc w:val="right"/>
        <w:rPr>
          <w:rFonts w:eastAsia="標楷體" w:cstheme="minorHAnsi"/>
          <w:sz w:val="22"/>
          <w:szCs w:val="20"/>
        </w:rPr>
      </w:pPr>
      <w:r w:rsidRPr="00ED54FA">
        <w:rPr>
          <w:rFonts w:eastAsia="標楷體" w:cstheme="minorHAnsi"/>
          <w:sz w:val="22"/>
          <w:szCs w:val="20"/>
        </w:rPr>
        <w:t>Approved by the 240th University Council Meeting on October 22, 2024</w:t>
      </w:r>
    </w:p>
    <w:p w14:paraId="1D5D7C3A" w14:textId="77777777" w:rsidR="00546E7C" w:rsidRPr="00ED54FA" w:rsidRDefault="00546E7C" w:rsidP="00ED54FA">
      <w:pPr>
        <w:jc w:val="right"/>
        <w:rPr>
          <w:rFonts w:eastAsia="標楷體" w:cstheme="minorHAnsi"/>
        </w:rPr>
      </w:pPr>
    </w:p>
    <w:p w14:paraId="794206C4" w14:textId="7885E168" w:rsidR="002A639E" w:rsidRPr="00ED54FA" w:rsidRDefault="00000000" w:rsidP="00ED54FA">
      <w:pPr>
        <w:pStyle w:val="a3"/>
        <w:numPr>
          <w:ilvl w:val="0"/>
          <w:numId w:val="1"/>
        </w:numPr>
        <w:ind w:leftChars="0" w:left="851" w:hanging="905"/>
        <w:rPr>
          <w:rFonts w:eastAsia="標楷體" w:cstheme="minorHAnsi"/>
        </w:rPr>
      </w:pPr>
      <w:r w:rsidRPr="00ED54FA">
        <w:rPr>
          <w:rFonts w:eastAsia="標楷體" w:cstheme="minorHAnsi"/>
        </w:rPr>
        <w:t>These Guidelines are established in accordance with Article 69 of the Regulations Governing Prevention and Control of Bullying on Campuses (hereinafter referred to as the "Prevention Regulations") to implement campus bullying prevention measures and foster a friendly campus environment.</w:t>
      </w:r>
    </w:p>
    <w:p w14:paraId="4E141A09" w14:textId="2B049872" w:rsidR="00571FB1" w:rsidRPr="00ED54FA" w:rsidRDefault="00000000" w:rsidP="00ED54FA">
      <w:pPr>
        <w:pStyle w:val="a3"/>
        <w:numPr>
          <w:ilvl w:val="0"/>
          <w:numId w:val="1"/>
        </w:numPr>
        <w:ind w:leftChars="0" w:left="851" w:hanging="905"/>
        <w:rPr>
          <w:rFonts w:eastAsia="標楷體" w:cstheme="minorHAnsi"/>
        </w:rPr>
      </w:pPr>
      <w:r w:rsidRPr="00ED54FA">
        <w:rPr>
          <w:rFonts w:eastAsia="標楷體" w:cstheme="minorHAnsi"/>
        </w:rPr>
        <w:t xml:space="preserve">For the purposes of these Guidelines, a campus bullying incident refers to an incident in which the Campus Bullying Prevention Committee of </w:t>
      </w:r>
      <w:proofErr w:type="spellStart"/>
      <w:r w:rsidRPr="00ED54FA">
        <w:rPr>
          <w:rFonts w:eastAsia="標楷體" w:cstheme="minorHAnsi"/>
        </w:rPr>
        <w:t>Tunghai</w:t>
      </w:r>
      <w:proofErr w:type="spellEnd"/>
      <w:r w:rsidRPr="00ED54FA">
        <w:rPr>
          <w:rFonts w:eastAsia="標楷體" w:cstheme="minorHAnsi"/>
        </w:rPr>
        <w:t xml:space="preserve"> University (hereinafter referred to as the "Prevention Committee") has determined that bullying has occurred.</w:t>
      </w:r>
    </w:p>
    <w:p w14:paraId="6AE0271B" w14:textId="470C9CC5" w:rsidR="009E37B3" w:rsidRPr="00ED54FA" w:rsidRDefault="00000000" w:rsidP="009E37B3">
      <w:pPr>
        <w:pStyle w:val="a3"/>
        <w:ind w:leftChars="0" w:left="840"/>
        <w:rPr>
          <w:rFonts w:eastAsia="標楷體" w:cstheme="minorHAnsi"/>
        </w:rPr>
      </w:pPr>
      <w:r w:rsidRPr="00ED54FA">
        <w:rPr>
          <w:rFonts w:eastAsia="標楷體" w:cstheme="minorHAnsi"/>
        </w:rPr>
        <w:t xml:space="preserve">The terms used in these Guidelines are defined in accordance with Article </w:t>
      </w:r>
      <w:r w:rsidR="00A06623" w:rsidRPr="00ED54FA">
        <w:rPr>
          <w:rFonts w:eastAsia="標楷體" w:cstheme="minorHAnsi"/>
        </w:rPr>
        <w:t>4</w:t>
      </w:r>
      <w:r w:rsidRPr="00ED54FA">
        <w:rPr>
          <w:rFonts w:eastAsia="標楷體" w:cstheme="minorHAnsi"/>
        </w:rPr>
        <w:t xml:space="preserve"> of the Prevention Guidelines as follows:</w:t>
      </w:r>
    </w:p>
    <w:p w14:paraId="7568F718" w14:textId="77777777" w:rsidR="009E37B3" w:rsidRPr="00ED54FA" w:rsidRDefault="00000000" w:rsidP="009E37B3">
      <w:pPr>
        <w:pStyle w:val="a3"/>
        <w:numPr>
          <w:ilvl w:val="0"/>
          <w:numId w:val="2"/>
        </w:numPr>
        <w:ind w:leftChars="0" w:left="1276"/>
        <w:rPr>
          <w:rFonts w:eastAsia="標楷體" w:cstheme="minorHAnsi"/>
        </w:rPr>
      </w:pPr>
      <w:r w:rsidRPr="00ED54FA">
        <w:rPr>
          <w:rFonts w:eastAsia="標楷體" w:cstheme="minorHAnsi"/>
        </w:rPr>
        <w:t>Student: A person enrolled at a school at any educational level; a person without student status during a transition between academic programs; a participant in continuing or extension education; an exchange student; a student teacher; a non-officially enrolled student; or any other person designated by the central competent authority.</w:t>
      </w:r>
    </w:p>
    <w:p w14:paraId="44C19B49" w14:textId="6CF7DFDD" w:rsidR="009E37B3" w:rsidRPr="00ED54FA" w:rsidRDefault="00000000" w:rsidP="009E37B3">
      <w:pPr>
        <w:pStyle w:val="a3"/>
        <w:numPr>
          <w:ilvl w:val="0"/>
          <w:numId w:val="2"/>
        </w:numPr>
        <w:ind w:leftChars="0" w:left="1276"/>
        <w:rPr>
          <w:rFonts w:eastAsia="標楷體" w:cstheme="minorHAnsi"/>
        </w:rPr>
      </w:pPr>
      <w:r w:rsidRPr="00ED54FA">
        <w:rPr>
          <w:rFonts w:eastAsia="標楷體" w:cstheme="minorHAnsi"/>
        </w:rPr>
        <w:t>Teacher: A full-time teacher, adjunct teacher, substitute teacher, temporary teacher, project teacher, military instructor, student organization advisor, volunteer assisting with instruction, student teacher engaged in teaching, internship supervisor at an internship site, or any other person designated by the central competent authority to carry out teaching or research.</w:t>
      </w:r>
    </w:p>
    <w:p w14:paraId="65490AC2" w14:textId="77777777" w:rsidR="009E37B3" w:rsidRPr="00ED54FA" w:rsidRDefault="00000000" w:rsidP="009E37B3">
      <w:pPr>
        <w:pStyle w:val="a3"/>
        <w:numPr>
          <w:ilvl w:val="0"/>
          <w:numId w:val="2"/>
        </w:numPr>
        <w:ind w:leftChars="0" w:left="1276"/>
        <w:rPr>
          <w:rFonts w:eastAsia="標楷體" w:cstheme="minorHAnsi"/>
        </w:rPr>
      </w:pPr>
      <w:r w:rsidRPr="00ED54FA">
        <w:rPr>
          <w:rFonts w:eastAsia="標楷體" w:cstheme="minorHAnsi"/>
        </w:rPr>
        <w:t>Staff and workers: Personnel other than the teachers referred to in the preceding subparagraph who regularly or periodically perform school affairs, volunteer personnel assisting in school affairs, student affairs innovation personnel, and other personnel designated by the central competent authority.</w:t>
      </w:r>
    </w:p>
    <w:p w14:paraId="59EEC61B" w14:textId="7D7D650A" w:rsidR="009E37B3" w:rsidRPr="00ED54FA" w:rsidRDefault="00000000" w:rsidP="009E37B3">
      <w:pPr>
        <w:pStyle w:val="a3"/>
        <w:numPr>
          <w:ilvl w:val="0"/>
          <w:numId w:val="2"/>
        </w:numPr>
        <w:ind w:leftChars="0" w:left="1276"/>
        <w:rPr>
          <w:rFonts w:eastAsia="標楷體" w:cstheme="minorHAnsi"/>
        </w:rPr>
      </w:pPr>
      <w:r w:rsidRPr="00ED54FA">
        <w:rPr>
          <w:rFonts w:eastAsia="標楷體" w:cstheme="minorHAnsi"/>
        </w:rPr>
        <w:t>Faculty-to-Student Bullying: Bullying committed by a teacher, staff member, or worker against a student of the same or another school, whether on or off campus.</w:t>
      </w:r>
    </w:p>
    <w:p w14:paraId="56BC7AC9" w14:textId="3F794E0E" w:rsidR="00875D0E"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Where an individual is found to have committed campus bullying, the Prevention Committee may recommend the following measures for handling by the Personnel Office:</w:t>
      </w:r>
    </w:p>
    <w:p w14:paraId="7F2B8519" w14:textId="08173A65" w:rsidR="00A54DD0" w:rsidRPr="00ED54FA" w:rsidRDefault="00000000" w:rsidP="00A54DD0">
      <w:pPr>
        <w:pStyle w:val="a3"/>
        <w:numPr>
          <w:ilvl w:val="1"/>
          <w:numId w:val="1"/>
        </w:numPr>
        <w:ind w:leftChars="0" w:left="1276"/>
        <w:rPr>
          <w:rFonts w:eastAsia="標楷體" w:cstheme="minorHAnsi"/>
        </w:rPr>
      </w:pPr>
      <w:r w:rsidRPr="00ED54FA">
        <w:rPr>
          <w:rFonts w:eastAsia="標楷體" w:cstheme="minorHAnsi"/>
        </w:rPr>
        <w:t>Where the offender is a teacher, the University may, depending on the severity of the case, dismiss, decline to renew the appointment, suspend, or terminate the employment in accordance with the Teacher's Act or the Regulations Governing the Employment of Part-Time Teachers in Tertiary Education Institutions. Alternatively, the Prevention Committee may resolve to impose one or more of the following disciplinary measures and specify the applicable duration or number of occurrences:</w:t>
      </w:r>
    </w:p>
    <w:p w14:paraId="13F72182" w14:textId="77777777" w:rsidR="00546E7C" w:rsidRPr="00ED54FA" w:rsidRDefault="00000000" w:rsidP="00546E7C">
      <w:pPr>
        <w:pStyle w:val="a3"/>
        <w:ind w:leftChars="472" w:left="1133"/>
        <w:rPr>
          <w:rFonts w:eastAsia="標楷體" w:cstheme="minorHAnsi"/>
        </w:rPr>
      </w:pPr>
      <w:r w:rsidRPr="00ED54FA">
        <w:rPr>
          <w:rFonts w:eastAsia="標楷體" w:cstheme="minorHAnsi"/>
        </w:rPr>
        <w:t>(1) Withhold part or all of the year-end bonus.</w:t>
      </w:r>
    </w:p>
    <w:p w14:paraId="0ACD2EC7" w14:textId="77777777" w:rsidR="00546E7C" w:rsidRPr="00ED54FA" w:rsidRDefault="00000000" w:rsidP="00546E7C">
      <w:pPr>
        <w:pStyle w:val="a3"/>
        <w:ind w:leftChars="472" w:left="1133"/>
        <w:rPr>
          <w:rFonts w:eastAsia="標楷體" w:cstheme="minorHAnsi"/>
        </w:rPr>
      </w:pPr>
      <w:r w:rsidRPr="00ED54FA">
        <w:rPr>
          <w:rFonts w:eastAsia="標楷體" w:cstheme="minorHAnsi"/>
        </w:rPr>
        <w:lastRenderedPageBreak/>
        <w:t>(2) Suspension of advancement or promotion.</w:t>
      </w:r>
    </w:p>
    <w:p w14:paraId="7C8844C2" w14:textId="77777777" w:rsidR="00546E7C" w:rsidRPr="00ED54FA" w:rsidRDefault="00000000" w:rsidP="00546E7C">
      <w:pPr>
        <w:pStyle w:val="a3"/>
        <w:ind w:leftChars="472" w:left="1133"/>
        <w:rPr>
          <w:rFonts w:eastAsia="標楷體" w:cstheme="minorHAnsi"/>
        </w:rPr>
      </w:pPr>
      <w:r w:rsidRPr="00ED54FA">
        <w:rPr>
          <w:rFonts w:eastAsia="標楷體" w:cstheme="minorHAnsi"/>
        </w:rPr>
        <w:t>(3) Suspension from serving concurrently as an academic advisor or administrator.</w:t>
      </w:r>
    </w:p>
    <w:p w14:paraId="66AB2597" w14:textId="3B6219CE" w:rsidR="00546E7C" w:rsidRPr="00ED54FA" w:rsidRDefault="00000000" w:rsidP="00A06623">
      <w:pPr>
        <w:pStyle w:val="a3"/>
        <w:ind w:leftChars="472" w:left="1133"/>
        <w:rPr>
          <w:rFonts w:eastAsia="標楷體" w:cstheme="minorHAnsi"/>
        </w:rPr>
      </w:pPr>
      <w:r w:rsidRPr="00ED54FA">
        <w:rPr>
          <w:rFonts w:eastAsia="標楷體" w:cstheme="minorHAnsi"/>
        </w:rPr>
        <w:t>(4) Prohibition on receiving hourly pay for additional teaching hours.</w:t>
      </w:r>
    </w:p>
    <w:p w14:paraId="3B60245D" w14:textId="049B3F3D" w:rsidR="00A54DD0" w:rsidRPr="00ED54FA" w:rsidRDefault="00000000" w:rsidP="00A54DD0">
      <w:pPr>
        <w:pStyle w:val="a3"/>
        <w:numPr>
          <w:ilvl w:val="1"/>
          <w:numId w:val="1"/>
        </w:numPr>
        <w:ind w:leftChars="0" w:left="1276"/>
        <w:rPr>
          <w:rFonts w:eastAsia="標楷體" w:cstheme="minorHAnsi"/>
        </w:rPr>
      </w:pPr>
      <w:r w:rsidRPr="00ED54FA">
        <w:rPr>
          <w:rFonts w:eastAsia="標楷體" w:cstheme="minorHAnsi"/>
        </w:rPr>
        <w:t>Where the offender is a staff member or worker, the University may, depending on the severity of the case, dismiss the individual or terminate the employment in accordance with the THU Regulations for Staff Employment or the THU Regulations for Contract Personnel Employment. Alternatively, the Prevention Committee may resolve to impose one or more of the following disciplinary measures and specify the applicable duration or number of occurrences:</w:t>
      </w:r>
    </w:p>
    <w:p w14:paraId="725FD96D" w14:textId="57D8E3D8" w:rsidR="00A54DD0" w:rsidRPr="00ED54FA" w:rsidRDefault="00000000" w:rsidP="00A54DD0">
      <w:pPr>
        <w:pStyle w:val="a3"/>
        <w:ind w:leftChars="472" w:left="1133"/>
        <w:rPr>
          <w:rFonts w:eastAsia="標楷體" w:cstheme="minorHAnsi"/>
        </w:rPr>
      </w:pPr>
      <w:r w:rsidRPr="00ED54FA">
        <w:rPr>
          <w:rFonts w:eastAsia="標楷體" w:cstheme="minorHAnsi"/>
        </w:rPr>
        <w:t>(1) Withhold part or all of the year-end bonus.</w:t>
      </w:r>
    </w:p>
    <w:p w14:paraId="62251C0A" w14:textId="77777777" w:rsidR="00A54DD0" w:rsidRPr="00ED54FA" w:rsidRDefault="00000000" w:rsidP="00A54DD0">
      <w:pPr>
        <w:pStyle w:val="a3"/>
        <w:ind w:leftChars="472" w:left="1133"/>
        <w:rPr>
          <w:rFonts w:eastAsia="標楷體" w:cstheme="minorHAnsi"/>
        </w:rPr>
      </w:pPr>
      <w:r w:rsidRPr="00ED54FA">
        <w:rPr>
          <w:rFonts w:eastAsia="標楷體" w:cstheme="minorHAnsi"/>
        </w:rPr>
        <w:t>(2) Suspension of advancement or promotion.</w:t>
      </w:r>
    </w:p>
    <w:p w14:paraId="44B185C6" w14:textId="77777777" w:rsidR="00A54DD0" w:rsidRPr="00ED54FA" w:rsidRDefault="00000000" w:rsidP="00A54DD0">
      <w:pPr>
        <w:pStyle w:val="a3"/>
        <w:ind w:leftChars="472" w:left="1133"/>
        <w:rPr>
          <w:rFonts w:eastAsia="標楷體" w:cstheme="minorHAnsi"/>
        </w:rPr>
      </w:pPr>
      <w:r w:rsidRPr="00ED54FA">
        <w:rPr>
          <w:rFonts w:eastAsia="標楷體" w:cstheme="minorHAnsi"/>
        </w:rPr>
        <w:t>(3) Suspension from serving concurrently as a supervisor.</w:t>
      </w:r>
    </w:p>
    <w:p w14:paraId="0FD94C8C" w14:textId="6965C41C" w:rsidR="00801275" w:rsidRPr="00ED54FA" w:rsidRDefault="00000000" w:rsidP="00A54DD0">
      <w:pPr>
        <w:pStyle w:val="a3"/>
        <w:ind w:leftChars="472" w:left="1133"/>
        <w:rPr>
          <w:rFonts w:eastAsia="標楷體" w:cstheme="minorHAnsi"/>
        </w:rPr>
      </w:pPr>
      <w:r w:rsidRPr="00ED54FA">
        <w:rPr>
          <w:rFonts w:eastAsia="標楷體" w:cstheme="minorHAnsi"/>
        </w:rPr>
        <w:t>(4) Suspension of eligibility for on-campus or off-campus concurrent employment and related work allowances.</w:t>
      </w:r>
    </w:p>
    <w:p w14:paraId="0B525ADB" w14:textId="12EEF699" w:rsidR="00801275"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Where a full-time teacher falls under Subparagraph 10, Paragraph 1 of Article 14, Subparagraph 3, Paragraph 1 of Article 15, or Article 18 of the Teacher's Act, the University shall, within ten days after the Prevention Committee adopts its resolution, submit the case to the Faculty Evaluation Committee (hereinafter referred to as the "FEC") for review. If the FEC approves dismissal or permanent suspension, the University shall, within ten days of the FEC's resolution, submit the case to the competent authority for approval in accordance with the Teacher's Act and, upon approval, dismiss or permanently suspend the teacher.</w:t>
      </w:r>
    </w:p>
    <w:p w14:paraId="7477001B" w14:textId="0BE48CE8" w:rsidR="002B2BF6" w:rsidRPr="00ED54FA" w:rsidRDefault="00000000" w:rsidP="002B2BF6">
      <w:pPr>
        <w:pStyle w:val="a3"/>
        <w:ind w:leftChars="0" w:left="840"/>
        <w:rPr>
          <w:rFonts w:eastAsia="標楷體" w:cstheme="minorHAnsi"/>
        </w:rPr>
      </w:pPr>
      <w:r w:rsidRPr="00ED54FA">
        <w:rPr>
          <w:rFonts w:eastAsia="標楷體" w:cstheme="minorHAnsi"/>
        </w:rPr>
        <w:t>Within ten days after receiving the competent authority's approval of the dismissal or permanent suspension, the University shall notify both the offender and the victim in writing of the facts and reasons for the decision and provide a copy of the investigation report.</w:t>
      </w:r>
    </w:p>
    <w:p w14:paraId="1D0A2199" w14:textId="078E634A" w:rsidR="002B2BF6"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Except under the circumstances specified in the preceding article, the University shall, within two months after the Prevention Committee adopts a resolution on a faculty-to-student bullying incident, make a final disposition in accordance with applicable laws and regulations, University rules, or the employment contract.</w:t>
      </w:r>
    </w:p>
    <w:p w14:paraId="7C83C819" w14:textId="2BFFE488" w:rsidR="002B2BF6" w:rsidRPr="00ED54FA" w:rsidRDefault="00000000" w:rsidP="002B2BF6">
      <w:pPr>
        <w:pStyle w:val="a3"/>
        <w:ind w:leftChars="0" w:left="840"/>
        <w:rPr>
          <w:rFonts w:eastAsia="標楷體" w:cstheme="minorHAnsi"/>
        </w:rPr>
      </w:pPr>
      <w:r w:rsidRPr="00ED54FA">
        <w:rPr>
          <w:rFonts w:eastAsia="標楷體" w:cstheme="minorHAnsi"/>
        </w:rPr>
        <w:t>After making its final disposition, the University shall, within ten working days, notify the parties in writing of the facts and reasons for the decision and provide a copy of the investigation report.</w:t>
      </w:r>
    </w:p>
    <w:p w14:paraId="1095DB49" w14:textId="65AC4619" w:rsidR="00801275"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Where a staff member or worker is suspected of committing a serious act of campus bullying, and the allegation is verified with dismissal, removal from office, termination of employment, or termination of service being deemed necessary, the University shall proceed in accordance with the applicable University regulations.</w:t>
      </w:r>
    </w:p>
    <w:p w14:paraId="77521A0B" w14:textId="7968C78B" w:rsidR="002B2BF6"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The University's determination of the facts relating to a campus bullying incident shall be based on the investigation report prepared by the Ad Hoc Committee for Investigation.</w:t>
      </w:r>
    </w:p>
    <w:p w14:paraId="00AF8532" w14:textId="5C722E4A" w:rsidR="00801275" w:rsidRPr="00ED54FA" w:rsidRDefault="00000000" w:rsidP="002B2BF6">
      <w:pPr>
        <w:pStyle w:val="a3"/>
        <w:ind w:leftChars="0" w:left="840"/>
        <w:rPr>
          <w:rFonts w:eastAsia="標楷體" w:cstheme="minorHAnsi"/>
        </w:rPr>
      </w:pPr>
      <w:r w:rsidRPr="00ED54FA">
        <w:rPr>
          <w:rFonts w:eastAsia="標楷體" w:cstheme="minorHAnsi"/>
        </w:rPr>
        <w:t xml:space="preserve">The University shall respect the findings of the Prevention Committee based on its </w:t>
      </w:r>
      <w:r w:rsidRPr="00ED54FA">
        <w:rPr>
          <w:rFonts w:eastAsia="標楷體" w:cstheme="minorHAnsi"/>
        </w:rPr>
        <w:lastRenderedPageBreak/>
        <w:t>investigation report and recommended actions, unless there are material procedural defects in the investigation or new facts or evidence sufficient to affect the original findings.</w:t>
      </w:r>
    </w:p>
    <w:p w14:paraId="1177EAEC" w14:textId="75AAEE74" w:rsidR="005E2CCD"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A full-time teacher who disagrees with the University's final disposition, dismissal, or permanent suspension may file an appeal in accordance with the University's regulations governing teacher appeals.</w:t>
      </w:r>
      <w:r w:rsidR="00ED54FA">
        <w:rPr>
          <w:rFonts w:eastAsia="標楷體" w:cstheme="minorHAnsi" w:hint="eastAsia"/>
        </w:rPr>
        <w:t xml:space="preserve"> </w:t>
      </w:r>
      <w:r w:rsidRPr="00ED54FA">
        <w:rPr>
          <w:rFonts w:eastAsia="標楷體" w:cstheme="minorHAnsi"/>
        </w:rPr>
        <w:t>A staff member or worker who disagrees with the University's final disposition may file an appeal in accordance with the University's regulations governing staff appeals.</w:t>
      </w:r>
    </w:p>
    <w:p w14:paraId="48DEB4FA" w14:textId="4C0BE0A2" w:rsidR="00801275"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Any matters not covered by these Guidelines shall be governed by the Regulations Governing Prevention and Control of Bullying on Campuses of the Ministry of Education.</w:t>
      </w:r>
    </w:p>
    <w:p w14:paraId="6FBE71AA" w14:textId="1BC513C8" w:rsidR="00357CEB" w:rsidRPr="00ED54FA" w:rsidRDefault="00000000" w:rsidP="00ED54FA">
      <w:pPr>
        <w:pStyle w:val="a3"/>
        <w:numPr>
          <w:ilvl w:val="0"/>
          <w:numId w:val="1"/>
        </w:numPr>
        <w:ind w:leftChars="0" w:left="851" w:hanging="851"/>
        <w:rPr>
          <w:rFonts w:eastAsia="標楷體" w:cstheme="minorHAnsi"/>
        </w:rPr>
      </w:pPr>
      <w:r w:rsidRPr="00ED54FA">
        <w:rPr>
          <w:rFonts w:eastAsia="標楷體" w:cstheme="minorHAnsi"/>
        </w:rPr>
        <w:t>These Guidelines shall take effect upon approval by the Campus Bullying Prevention Committee and the University Council.</w:t>
      </w:r>
    </w:p>
    <w:sectPr w:rsidR="00357CEB" w:rsidRPr="00ED54FA" w:rsidSect="00546E7C">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2010601000101010101"/>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4746A"/>
    <w:multiLevelType w:val="hybridMultilevel"/>
    <w:tmpl w:val="97344082"/>
    <w:lvl w:ilvl="0" w:tplc="E5CA1A7E">
      <w:start w:val="1"/>
      <w:numFmt w:val="decimal"/>
      <w:lvlText w:val="Article %1"/>
      <w:lvlJc w:val="left"/>
      <w:pPr>
        <w:ind w:left="480" w:hanging="480"/>
      </w:pPr>
      <w:rPr>
        <w:rFonts w:asciiTheme="minorHAnsi" w:hAnsiTheme="minorHAnsi" w:hint="default"/>
        <w:color w:val="auto"/>
      </w:rPr>
    </w:lvl>
    <w:lvl w:ilvl="1" w:tplc="0409000F">
      <w:start w:val="1"/>
      <w:numFmt w:val="decimal"/>
      <w:lvlText w:val="%2."/>
      <w:lvlJc w:val="left"/>
      <w:pPr>
        <w:ind w:left="480" w:hanging="480"/>
      </w:pPr>
    </w:lvl>
    <w:lvl w:ilvl="2" w:tplc="51407D46" w:tentative="1">
      <w:start w:val="1"/>
      <w:numFmt w:val="lowerRoman"/>
      <w:lvlText w:val="%3."/>
      <w:lvlJc w:val="right"/>
      <w:pPr>
        <w:ind w:left="1440" w:hanging="480"/>
      </w:pPr>
    </w:lvl>
    <w:lvl w:ilvl="3" w:tplc="7D128698" w:tentative="1">
      <w:start w:val="1"/>
      <w:numFmt w:val="decimal"/>
      <w:lvlText w:val="%4."/>
      <w:lvlJc w:val="left"/>
      <w:pPr>
        <w:ind w:left="1920" w:hanging="480"/>
      </w:pPr>
    </w:lvl>
    <w:lvl w:ilvl="4" w:tplc="D5501A2E" w:tentative="1">
      <w:start w:val="1"/>
      <w:numFmt w:val="ideographTraditional"/>
      <w:lvlText w:val="%5、"/>
      <w:lvlJc w:val="left"/>
      <w:pPr>
        <w:ind w:left="2400" w:hanging="480"/>
      </w:pPr>
    </w:lvl>
    <w:lvl w:ilvl="5" w:tplc="A972F342" w:tentative="1">
      <w:start w:val="1"/>
      <w:numFmt w:val="lowerRoman"/>
      <w:lvlText w:val="%6."/>
      <w:lvlJc w:val="right"/>
      <w:pPr>
        <w:ind w:left="2880" w:hanging="480"/>
      </w:pPr>
    </w:lvl>
    <w:lvl w:ilvl="6" w:tplc="B4965C08" w:tentative="1">
      <w:start w:val="1"/>
      <w:numFmt w:val="decimal"/>
      <w:lvlText w:val="%7."/>
      <w:lvlJc w:val="left"/>
      <w:pPr>
        <w:ind w:left="3360" w:hanging="480"/>
      </w:pPr>
    </w:lvl>
    <w:lvl w:ilvl="7" w:tplc="3BF80C38" w:tentative="1">
      <w:start w:val="1"/>
      <w:numFmt w:val="ideographTraditional"/>
      <w:lvlText w:val="%8、"/>
      <w:lvlJc w:val="left"/>
      <w:pPr>
        <w:ind w:left="3840" w:hanging="480"/>
      </w:pPr>
    </w:lvl>
    <w:lvl w:ilvl="8" w:tplc="4112CD56" w:tentative="1">
      <w:start w:val="1"/>
      <w:numFmt w:val="lowerRoman"/>
      <w:lvlText w:val="%9."/>
      <w:lvlJc w:val="right"/>
      <w:pPr>
        <w:ind w:left="4320" w:hanging="480"/>
      </w:pPr>
    </w:lvl>
  </w:abstractNum>
  <w:abstractNum w:abstractNumId="1" w15:restartNumberingAfterBreak="0">
    <w:nsid w:val="72045A07"/>
    <w:multiLevelType w:val="hybridMultilevel"/>
    <w:tmpl w:val="4CCC846A"/>
    <w:lvl w:ilvl="0" w:tplc="0409000F">
      <w:start w:val="1"/>
      <w:numFmt w:val="decimal"/>
      <w:lvlText w:val="%1."/>
      <w:lvlJc w:val="left"/>
      <w:pPr>
        <w:ind w:left="480" w:hanging="480"/>
      </w:pPr>
      <w:rPr>
        <w:rFonts w:hint="default"/>
      </w:rPr>
    </w:lvl>
    <w:lvl w:ilvl="1" w:tplc="E32CC164" w:tentative="1">
      <w:start w:val="1"/>
      <w:numFmt w:val="ideographTraditional"/>
      <w:lvlText w:val="%2、"/>
      <w:lvlJc w:val="left"/>
      <w:pPr>
        <w:ind w:left="960" w:hanging="480"/>
      </w:pPr>
    </w:lvl>
    <w:lvl w:ilvl="2" w:tplc="C7C2EAF8" w:tentative="1">
      <w:start w:val="1"/>
      <w:numFmt w:val="lowerRoman"/>
      <w:lvlText w:val="%3."/>
      <w:lvlJc w:val="right"/>
      <w:pPr>
        <w:ind w:left="1440" w:hanging="480"/>
      </w:pPr>
    </w:lvl>
    <w:lvl w:ilvl="3" w:tplc="F16C4186" w:tentative="1">
      <w:start w:val="1"/>
      <w:numFmt w:val="decimal"/>
      <w:lvlText w:val="%4."/>
      <w:lvlJc w:val="left"/>
      <w:pPr>
        <w:ind w:left="1920" w:hanging="480"/>
      </w:pPr>
    </w:lvl>
    <w:lvl w:ilvl="4" w:tplc="2D9051D0" w:tentative="1">
      <w:start w:val="1"/>
      <w:numFmt w:val="ideographTraditional"/>
      <w:lvlText w:val="%5、"/>
      <w:lvlJc w:val="left"/>
      <w:pPr>
        <w:ind w:left="2400" w:hanging="480"/>
      </w:pPr>
    </w:lvl>
    <w:lvl w:ilvl="5" w:tplc="0696E1F0" w:tentative="1">
      <w:start w:val="1"/>
      <w:numFmt w:val="lowerRoman"/>
      <w:lvlText w:val="%6."/>
      <w:lvlJc w:val="right"/>
      <w:pPr>
        <w:ind w:left="2880" w:hanging="480"/>
      </w:pPr>
    </w:lvl>
    <w:lvl w:ilvl="6" w:tplc="52DC2A9E" w:tentative="1">
      <w:start w:val="1"/>
      <w:numFmt w:val="decimal"/>
      <w:lvlText w:val="%7."/>
      <w:lvlJc w:val="left"/>
      <w:pPr>
        <w:ind w:left="3360" w:hanging="480"/>
      </w:pPr>
    </w:lvl>
    <w:lvl w:ilvl="7" w:tplc="41ACE130" w:tentative="1">
      <w:start w:val="1"/>
      <w:numFmt w:val="ideographTraditional"/>
      <w:lvlText w:val="%8、"/>
      <w:lvlJc w:val="left"/>
      <w:pPr>
        <w:ind w:left="3840" w:hanging="480"/>
      </w:pPr>
    </w:lvl>
    <w:lvl w:ilvl="8" w:tplc="7FAC7156" w:tentative="1">
      <w:start w:val="1"/>
      <w:numFmt w:val="lowerRoman"/>
      <w:lvlText w:val="%9."/>
      <w:lvlJc w:val="right"/>
      <w:pPr>
        <w:ind w:left="4320" w:hanging="480"/>
      </w:pPr>
    </w:lvl>
  </w:abstractNum>
  <w:num w:numId="1" w16cid:durableId="787550293">
    <w:abstractNumId w:val="0"/>
  </w:num>
  <w:num w:numId="2" w16cid:durableId="804543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EB"/>
    <w:rsid w:val="00005C65"/>
    <w:rsid w:val="000111EB"/>
    <w:rsid w:val="000864D4"/>
    <w:rsid w:val="000C04FE"/>
    <w:rsid w:val="000D59E6"/>
    <w:rsid w:val="00117673"/>
    <w:rsid w:val="002A639E"/>
    <w:rsid w:val="002B110F"/>
    <w:rsid w:val="002B2BF6"/>
    <w:rsid w:val="00357CEB"/>
    <w:rsid w:val="00420478"/>
    <w:rsid w:val="004851BE"/>
    <w:rsid w:val="00546E7C"/>
    <w:rsid w:val="00571FB1"/>
    <w:rsid w:val="005E19C5"/>
    <w:rsid w:val="005E2CCD"/>
    <w:rsid w:val="00636D57"/>
    <w:rsid w:val="0064725C"/>
    <w:rsid w:val="007575BB"/>
    <w:rsid w:val="007E4663"/>
    <w:rsid w:val="00801275"/>
    <w:rsid w:val="00875D0E"/>
    <w:rsid w:val="009E37B3"/>
    <w:rsid w:val="00A06623"/>
    <w:rsid w:val="00A20A19"/>
    <w:rsid w:val="00A54DD0"/>
    <w:rsid w:val="00CA5581"/>
    <w:rsid w:val="00CB22DF"/>
    <w:rsid w:val="00D5546B"/>
    <w:rsid w:val="00ED54FA"/>
    <w:rsid w:val="00F21183"/>
    <w:rsid w:val="00FC55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908344C"/>
  <w15:chartTrackingRefBased/>
  <w15:docId w15:val="{2D463EFE-AB89-48FF-8F9B-EE442670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639E"/>
    <w:pPr>
      <w:ind w:leftChars="200" w:left="480"/>
    </w:pPr>
  </w:style>
  <w:style w:type="paragraph" w:styleId="a4">
    <w:name w:val="header"/>
    <w:basedOn w:val="a"/>
    <w:link w:val="a5"/>
    <w:uiPriority w:val="99"/>
    <w:unhideWhenUsed/>
    <w:rsid w:val="00F21183"/>
    <w:pPr>
      <w:tabs>
        <w:tab w:val="center" w:pos="4153"/>
        <w:tab w:val="right" w:pos="8306"/>
      </w:tabs>
      <w:snapToGrid w:val="0"/>
    </w:pPr>
    <w:rPr>
      <w:sz w:val="20"/>
      <w:szCs w:val="20"/>
    </w:rPr>
  </w:style>
  <w:style w:type="character" w:customStyle="1" w:styleId="a5">
    <w:name w:val="頁首 字元"/>
    <w:basedOn w:val="a0"/>
    <w:link w:val="a4"/>
    <w:uiPriority w:val="99"/>
    <w:rsid w:val="00F21183"/>
    <w:rPr>
      <w:sz w:val="20"/>
      <w:szCs w:val="20"/>
    </w:rPr>
  </w:style>
  <w:style w:type="paragraph" w:styleId="a6">
    <w:name w:val="footer"/>
    <w:basedOn w:val="a"/>
    <w:link w:val="a7"/>
    <w:uiPriority w:val="99"/>
    <w:unhideWhenUsed/>
    <w:rsid w:val="00F21183"/>
    <w:pPr>
      <w:tabs>
        <w:tab w:val="center" w:pos="4153"/>
        <w:tab w:val="right" w:pos="8306"/>
      </w:tabs>
      <w:snapToGrid w:val="0"/>
    </w:pPr>
    <w:rPr>
      <w:sz w:val="20"/>
      <w:szCs w:val="20"/>
    </w:rPr>
  </w:style>
  <w:style w:type="character" w:customStyle="1" w:styleId="a7">
    <w:name w:val="頁尾 字元"/>
    <w:basedOn w:val="a0"/>
    <w:link w:val="a6"/>
    <w:uiPriority w:val="99"/>
    <w:rsid w:val="00F2118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979</Words>
  <Characters>5583</Characters>
  <Application>Microsoft Office Word</Application>
  <DocSecurity>0</DocSecurity>
  <Lines>46</Lines>
  <Paragraphs>13</Paragraphs>
  <ScaleCrop>false</ScaleCrop>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5</cp:revision>
  <dcterms:created xsi:type="dcterms:W3CDTF">2024-10-25T00:16:00Z</dcterms:created>
  <dcterms:modified xsi:type="dcterms:W3CDTF">2026-07-17T07:49:00Z</dcterms:modified>
</cp:coreProperties>
</file>